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8D" w:rsidRPr="00BD267A" w:rsidRDefault="00F6228D" w:rsidP="00F6228D">
      <w:pPr>
        <w:spacing w:after="0"/>
        <w:rPr>
          <w:rFonts w:ascii="Corbel" w:hAnsi="Corbel"/>
          <w:sz w:val="24"/>
          <w:szCs w:val="24"/>
        </w:rPr>
      </w:pPr>
    </w:p>
    <w:p w:rsidR="00622B26" w:rsidRPr="00684961" w:rsidRDefault="00CB1D70" w:rsidP="00622B26">
      <w:pPr>
        <w:rPr>
          <w:rFonts w:ascii="Corbel" w:hAnsi="Corbel"/>
          <w:b/>
          <w:sz w:val="32"/>
          <w:szCs w:val="32"/>
        </w:rPr>
      </w:pPr>
      <w:r w:rsidRPr="00684961">
        <w:rPr>
          <w:rFonts w:ascii="Corbel" w:hAnsi="Corbel"/>
          <w:b/>
          <w:sz w:val="32"/>
          <w:szCs w:val="32"/>
        </w:rPr>
        <w:t>Citizens</w:t>
      </w:r>
      <w:r w:rsidR="00111EB8">
        <w:rPr>
          <w:rFonts w:ascii="Corbel" w:hAnsi="Corbel"/>
          <w:b/>
          <w:sz w:val="32"/>
          <w:szCs w:val="32"/>
        </w:rPr>
        <w:t>’</w:t>
      </w:r>
      <w:r w:rsidRPr="00684961">
        <w:rPr>
          <w:rFonts w:ascii="Corbel" w:hAnsi="Corbel"/>
          <w:b/>
          <w:sz w:val="32"/>
          <w:szCs w:val="32"/>
        </w:rPr>
        <w:t xml:space="preserve"> </w:t>
      </w:r>
      <w:r w:rsidR="00622B26" w:rsidRPr="00684961">
        <w:rPr>
          <w:rFonts w:ascii="Corbel" w:hAnsi="Corbel"/>
          <w:b/>
          <w:sz w:val="32"/>
          <w:szCs w:val="32"/>
        </w:rPr>
        <w:t xml:space="preserve">Panel </w:t>
      </w:r>
    </w:p>
    <w:p w:rsidR="00CB1D70" w:rsidRPr="00684961" w:rsidRDefault="00CB1D70" w:rsidP="00622B26">
      <w:pPr>
        <w:rPr>
          <w:rFonts w:ascii="Corbel" w:hAnsi="Corbel"/>
          <w:b/>
          <w:sz w:val="32"/>
          <w:szCs w:val="32"/>
        </w:rPr>
      </w:pPr>
      <w:r w:rsidRPr="00684961">
        <w:rPr>
          <w:rFonts w:ascii="Corbel" w:hAnsi="Corbel"/>
          <w:b/>
          <w:sz w:val="32"/>
          <w:szCs w:val="32"/>
        </w:rPr>
        <w:t>Background information</w:t>
      </w:r>
    </w:p>
    <w:p w:rsidR="00622B26" w:rsidRPr="00BD267A" w:rsidRDefault="00622B26" w:rsidP="00622B26">
      <w:pPr>
        <w:rPr>
          <w:rFonts w:ascii="Corbel" w:hAnsi="Corbel"/>
          <w:sz w:val="24"/>
          <w:szCs w:val="24"/>
        </w:rPr>
      </w:pPr>
      <w:r>
        <w:rPr>
          <w:rFonts w:ascii="Corbel" w:hAnsi="Corbel"/>
          <w:sz w:val="24"/>
          <w:szCs w:val="24"/>
        </w:rPr>
        <w:t>____________________________________________________________________________</w:t>
      </w:r>
    </w:p>
    <w:p w:rsidR="00622B26" w:rsidRPr="00555F02" w:rsidRDefault="00622B26" w:rsidP="00622B26">
      <w:pPr>
        <w:rPr>
          <w:rFonts w:ascii="Corbel" w:hAnsi="Corbel"/>
          <w:b/>
        </w:rPr>
      </w:pPr>
      <w:r w:rsidRPr="00555F02">
        <w:rPr>
          <w:rFonts w:ascii="Corbel" w:hAnsi="Corbel"/>
          <w:b/>
        </w:rPr>
        <w:t>Background</w:t>
      </w:r>
    </w:p>
    <w:p w:rsidR="00622B26" w:rsidRDefault="00622B26" w:rsidP="00622B26">
      <w:pPr>
        <w:rPr>
          <w:rFonts w:ascii="Corbel" w:hAnsi="Corbel"/>
        </w:rPr>
      </w:pPr>
      <w:r w:rsidRPr="00555F02">
        <w:rPr>
          <w:rFonts w:ascii="Corbel" w:hAnsi="Corbel"/>
        </w:rPr>
        <w:t xml:space="preserve">The NHS is one of Britain’s proudest achievements. Our staff deliver a superb service in treating record numbers of patients. </w:t>
      </w:r>
    </w:p>
    <w:p w:rsidR="00622B26" w:rsidRPr="00555F02" w:rsidRDefault="00622B26" w:rsidP="00622B26">
      <w:pPr>
        <w:rPr>
          <w:rFonts w:ascii="Corbel" w:hAnsi="Corbel"/>
        </w:rPr>
      </w:pPr>
      <w:r w:rsidRPr="00555F02">
        <w:rPr>
          <w:rFonts w:ascii="Corbel" w:hAnsi="Corbel"/>
        </w:rPr>
        <w:t>Since its creation in 1948, it has constantly adapted and it must continue to do so as the world and our health needs change. As life expectancy increases so too do the ailments of old age</w:t>
      </w:r>
      <w:r w:rsidR="00CB1D70">
        <w:rPr>
          <w:rFonts w:ascii="Corbel" w:hAnsi="Corbel"/>
        </w:rPr>
        <w:t>, and t</w:t>
      </w:r>
      <w:r w:rsidRPr="00555F02">
        <w:rPr>
          <w:rFonts w:ascii="Corbel" w:hAnsi="Corbel"/>
        </w:rPr>
        <w:t>here are now more people with chronic conditions like heart failure and arthritis. There are also big opportunities to improve care by making practical changes to how the NHS and social care works. Improvements like making it easier to see a GP, speeding up access to appointments which will allow us to receive our diagnosis at the earliest possible time, and offering help faster to people with mental ill health problems.</w:t>
      </w:r>
    </w:p>
    <w:p w:rsidR="00622B26" w:rsidRPr="00555F02" w:rsidRDefault="00622B26" w:rsidP="00622B26">
      <w:pPr>
        <w:rPr>
          <w:rFonts w:ascii="Corbel" w:hAnsi="Corbel"/>
        </w:rPr>
      </w:pPr>
      <w:r w:rsidRPr="00555F02">
        <w:rPr>
          <w:rFonts w:ascii="Corbel" w:hAnsi="Corbel"/>
        </w:rPr>
        <w:t xml:space="preserve">To achieve this, </w:t>
      </w:r>
      <w:r>
        <w:rPr>
          <w:rFonts w:ascii="Corbel" w:hAnsi="Corbel"/>
        </w:rPr>
        <w:t>our staff</w:t>
      </w:r>
      <w:r w:rsidRPr="00555F02">
        <w:rPr>
          <w:rFonts w:ascii="Corbel" w:hAnsi="Corbel"/>
        </w:rPr>
        <w:t xml:space="preserve">, our citizens, </w:t>
      </w:r>
      <w:r>
        <w:rPr>
          <w:rFonts w:ascii="Corbel" w:hAnsi="Corbel"/>
        </w:rPr>
        <w:t>our communities</w:t>
      </w:r>
      <w:r w:rsidRPr="00555F02">
        <w:rPr>
          <w:rFonts w:ascii="Corbel" w:hAnsi="Corbel"/>
        </w:rPr>
        <w:t xml:space="preserve">, </w:t>
      </w:r>
      <w:r>
        <w:rPr>
          <w:rFonts w:ascii="Corbel" w:hAnsi="Corbel"/>
        </w:rPr>
        <w:t>and other interested organisations</w:t>
      </w:r>
      <w:r w:rsidRPr="00555F02">
        <w:rPr>
          <w:rFonts w:ascii="Corbel" w:hAnsi="Corbel"/>
        </w:rPr>
        <w:t xml:space="preserve"> </w:t>
      </w:r>
      <w:r>
        <w:rPr>
          <w:rFonts w:ascii="Corbel" w:hAnsi="Corbel"/>
        </w:rPr>
        <w:t xml:space="preserve">will have </w:t>
      </w:r>
      <w:r w:rsidRPr="00555F02">
        <w:rPr>
          <w:rFonts w:ascii="Corbel" w:hAnsi="Corbel"/>
        </w:rPr>
        <w:t>to work more cl</w:t>
      </w:r>
      <w:r w:rsidR="00CB1D70">
        <w:rPr>
          <w:rFonts w:ascii="Corbel" w:hAnsi="Corbel"/>
        </w:rPr>
        <w:t>osely together, and in new ways</w:t>
      </w:r>
      <w:r w:rsidRPr="00555F02">
        <w:rPr>
          <w:rFonts w:ascii="Corbel" w:hAnsi="Corbel"/>
        </w:rPr>
        <w:t xml:space="preserve"> </w:t>
      </w:r>
      <w:r w:rsidRPr="00CB1D70">
        <w:rPr>
          <w:rFonts w:ascii="Corbel" w:hAnsi="Corbel"/>
        </w:rPr>
        <w:t>to improve health and wellbeing, improve the quality of care people receive and to ensure our services are efficient.</w:t>
      </w:r>
      <w:r w:rsidRPr="00555F02">
        <w:rPr>
          <w:rFonts w:ascii="Corbel" w:hAnsi="Corbel"/>
        </w:rPr>
        <w:t xml:space="preserve"> </w:t>
      </w:r>
    </w:p>
    <w:p w:rsidR="00622B26" w:rsidRDefault="00622B26" w:rsidP="00622B26">
      <w:pPr>
        <w:rPr>
          <w:rFonts w:ascii="Corbel" w:hAnsi="Corbel"/>
        </w:rPr>
      </w:pPr>
      <w:r w:rsidRPr="00555F02">
        <w:rPr>
          <w:rFonts w:ascii="Corbel" w:hAnsi="Corbel"/>
        </w:rPr>
        <w:t>This means</w:t>
      </w:r>
      <w:r>
        <w:rPr>
          <w:rFonts w:ascii="Corbel" w:hAnsi="Corbel"/>
        </w:rPr>
        <w:t xml:space="preserve"> people</w:t>
      </w:r>
      <w:r w:rsidRPr="00555F02">
        <w:rPr>
          <w:rFonts w:ascii="Corbel" w:hAnsi="Corbel"/>
        </w:rPr>
        <w:t xml:space="preserve"> are joining</w:t>
      </w:r>
      <w:r>
        <w:rPr>
          <w:rFonts w:ascii="Corbel" w:hAnsi="Corbel"/>
        </w:rPr>
        <w:t xml:space="preserve"> forces to develop and deliver local</w:t>
      </w:r>
      <w:r w:rsidRPr="00555F02">
        <w:rPr>
          <w:rFonts w:ascii="Corbel" w:hAnsi="Corbel"/>
        </w:rPr>
        <w:t xml:space="preserve"> plan</w:t>
      </w:r>
      <w:r>
        <w:rPr>
          <w:rFonts w:ascii="Corbel" w:hAnsi="Corbel"/>
        </w:rPr>
        <w:t>s</w:t>
      </w:r>
      <w:r w:rsidRPr="00555F02">
        <w:rPr>
          <w:rFonts w:ascii="Corbel" w:hAnsi="Corbel"/>
        </w:rPr>
        <w:t xml:space="preserve"> to improve health and care services all over England</w:t>
      </w:r>
      <w:r>
        <w:rPr>
          <w:rFonts w:ascii="Corbel" w:hAnsi="Corbel"/>
        </w:rPr>
        <w:t>; including:-</w:t>
      </w:r>
    </w:p>
    <w:p w:rsidR="00622B26" w:rsidRPr="00CB1D70" w:rsidRDefault="00622B26" w:rsidP="00CB1D70">
      <w:pPr>
        <w:pStyle w:val="ListParagraph"/>
        <w:numPr>
          <w:ilvl w:val="0"/>
          <w:numId w:val="2"/>
        </w:numPr>
        <w:rPr>
          <w:rFonts w:ascii="Corbel" w:hAnsi="Corbel"/>
        </w:rPr>
      </w:pPr>
      <w:r w:rsidRPr="00CB1D70">
        <w:rPr>
          <w:rFonts w:ascii="Corbel" w:hAnsi="Corbel"/>
        </w:rPr>
        <w:t>patients,</w:t>
      </w:r>
      <w:r w:rsidR="00CB1D70">
        <w:rPr>
          <w:rFonts w:ascii="Corbel" w:hAnsi="Corbel"/>
        </w:rPr>
        <w:t xml:space="preserve"> </w:t>
      </w:r>
      <w:r w:rsidRPr="00CB1D70">
        <w:rPr>
          <w:rFonts w:ascii="Corbel" w:hAnsi="Corbel"/>
        </w:rPr>
        <w:t xml:space="preserve">the public, </w:t>
      </w:r>
      <w:r w:rsidRPr="00622B26">
        <w:rPr>
          <w:rFonts w:ascii="Corbel" w:hAnsi="Corbel"/>
        </w:rPr>
        <w:t xml:space="preserve">and </w:t>
      </w:r>
      <w:r w:rsidR="00CB1D70">
        <w:rPr>
          <w:rFonts w:ascii="Corbel" w:hAnsi="Corbel"/>
        </w:rPr>
        <w:t>carers</w:t>
      </w:r>
    </w:p>
    <w:p w:rsidR="00622B26" w:rsidRPr="00CB1D70" w:rsidRDefault="00CB1D70" w:rsidP="00CB1D70">
      <w:pPr>
        <w:pStyle w:val="ListParagraph"/>
        <w:numPr>
          <w:ilvl w:val="0"/>
          <w:numId w:val="2"/>
        </w:numPr>
        <w:rPr>
          <w:rFonts w:ascii="Corbel" w:hAnsi="Corbel"/>
        </w:rPr>
      </w:pPr>
      <w:r>
        <w:rPr>
          <w:rFonts w:ascii="Corbel" w:hAnsi="Corbel"/>
        </w:rPr>
        <w:t>clinicians</w:t>
      </w:r>
    </w:p>
    <w:p w:rsidR="00622B26" w:rsidRPr="00CB1D70" w:rsidRDefault="00622B26" w:rsidP="00CB1D70">
      <w:pPr>
        <w:pStyle w:val="ListParagraph"/>
        <w:numPr>
          <w:ilvl w:val="0"/>
          <w:numId w:val="2"/>
        </w:numPr>
        <w:rPr>
          <w:rFonts w:ascii="Corbel" w:hAnsi="Corbel"/>
        </w:rPr>
      </w:pPr>
      <w:r w:rsidRPr="00CB1D70">
        <w:rPr>
          <w:rFonts w:ascii="Corbel" w:hAnsi="Corbel"/>
        </w:rPr>
        <w:t>voluntary</w:t>
      </w:r>
      <w:r>
        <w:rPr>
          <w:rFonts w:ascii="Corbel" w:hAnsi="Corbel"/>
        </w:rPr>
        <w:t xml:space="preserve"> and community</w:t>
      </w:r>
      <w:r w:rsidRPr="00CB1D70">
        <w:rPr>
          <w:rFonts w:ascii="Corbel" w:hAnsi="Corbel"/>
        </w:rPr>
        <w:t xml:space="preserve"> sector colleagues </w:t>
      </w:r>
    </w:p>
    <w:p w:rsidR="00622B26" w:rsidRPr="00CB1D70" w:rsidRDefault="00622B26" w:rsidP="00CB1D70">
      <w:pPr>
        <w:pStyle w:val="ListParagraph"/>
        <w:numPr>
          <w:ilvl w:val="0"/>
          <w:numId w:val="2"/>
        </w:numPr>
        <w:rPr>
          <w:rFonts w:ascii="Corbel" w:hAnsi="Corbel"/>
        </w:rPr>
      </w:pPr>
      <w:r w:rsidRPr="00CB1D70">
        <w:rPr>
          <w:rFonts w:ascii="Corbel" w:hAnsi="Corbel"/>
        </w:rPr>
        <w:t xml:space="preserve">local health and care provider and commissioning organisations </w:t>
      </w:r>
    </w:p>
    <w:p w:rsidR="00622B26" w:rsidRPr="00CB1D70" w:rsidRDefault="00622B26" w:rsidP="00CB1D70">
      <w:pPr>
        <w:pStyle w:val="ListParagraph"/>
        <w:numPr>
          <w:ilvl w:val="0"/>
          <w:numId w:val="2"/>
        </w:numPr>
        <w:rPr>
          <w:rFonts w:ascii="Corbel" w:hAnsi="Corbel"/>
        </w:rPr>
      </w:pPr>
      <w:r w:rsidRPr="00CB1D70">
        <w:rPr>
          <w:rFonts w:ascii="Corbel" w:hAnsi="Corbel"/>
        </w:rPr>
        <w:t xml:space="preserve">local authorities </w:t>
      </w:r>
    </w:p>
    <w:p w:rsidR="00622B26" w:rsidRPr="00555F02" w:rsidRDefault="00622B26" w:rsidP="00622B26">
      <w:pPr>
        <w:rPr>
          <w:rFonts w:ascii="Corbel" w:hAnsi="Corbel"/>
        </w:rPr>
      </w:pPr>
      <w:r w:rsidRPr="00555F02">
        <w:rPr>
          <w:rFonts w:ascii="Corbel" w:hAnsi="Corbel"/>
        </w:rPr>
        <w:t>These local plans are known as Sustainability and Transformation Plans (STPs). Collectively 44 STPs have been developed to support the delivery of a national plan called the Five Year Forward View (5YFV). Published in 2014, it set out a vision of a better health and care services, and the steps we should take to get us there.</w:t>
      </w:r>
    </w:p>
    <w:p w:rsidR="00CB1D70" w:rsidRPr="00CB1D70" w:rsidRDefault="00622B26" w:rsidP="00703ECC">
      <w:pPr>
        <w:rPr>
          <w:rFonts w:ascii="Corbel" w:hAnsi="Corbel"/>
        </w:rPr>
      </w:pPr>
      <w:r>
        <w:rPr>
          <w:rFonts w:ascii="Corbel" w:hAnsi="Corbel"/>
        </w:rPr>
        <w:t xml:space="preserve">One of the first steps in this, has been to set up a small number of Accountable Care  Systems to test out this </w:t>
      </w:r>
      <w:r w:rsidR="00CB1D70">
        <w:rPr>
          <w:rFonts w:ascii="Corbel" w:hAnsi="Corbel"/>
        </w:rPr>
        <w:t>new</w:t>
      </w:r>
      <w:r>
        <w:rPr>
          <w:rFonts w:ascii="Corbel" w:hAnsi="Corbel"/>
        </w:rPr>
        <w:t xml:space="preserve"> way of working. </w:t>
      </w:r>
      <w:r w:rsidRPr="00555F02">
        <w:rPr>
          <w:rFonts w:ascii="Corbel" w:hAnsi="Corbel"/>
        </w:rPr>
        <w:t>South Yorkshire and Basset</w:t>
      </w:r>
      <w:r>
        <w:rPr>
          <w:rFonts w:ascii="Corbel" w:hAnsi="Corbel"/>
        </w:rPr>
        <w:t xml:space="preserve">law is </w:t>
      </w:r>
      <w:r w:rsidRPr="00555F02">
        <w:rPr>
          <w:rFonts w:ascii="Corbel" w:hAnsi="Corbel"/>
        </w:rPr>
        <w:t>one of eight Accountable Care Systems (ACS) in England.  As an ACS, we are being asked to push ahead in</w:t>
      </w:r>
      <w:r>
        <w:rPr>
          <w:rFonts w:ascii="Corbel" w:hAnsi="Corbel"/>
        </w:rPr>
        <w:t xml:space="preserve"> these </w:t>
      </w:r>
      <w:r w:rsidRPr="00555F02">
        <w:rPr>
          <w:rFonts w:ascii="Corbel" w:hAnsi="Corbel"/>
        </w:rPr>
        <w:t>priority</w:t>
      </w:r>
      <w:r w:rsidR="009938A5">
        <w:rPr>
          <w:rFonts w:ascii="Corbel" w:hAnsi="Corbel"/>
        </w:rPr>
        <w:t xml:space="preserve"> areas:</w:t>
      </w:r>
      <w:r w:rsidRPr="00555F02">
        <w:rPr>
          <w:rFonts w:ascii="Corbel" w:hAnsi="Corbel"/>
        </w:rPr>
        <w:t xml:space="preserve"> </w:t>
      </w:r>
    </w:p>
    <w:p w:rsidR="00622B26" w:rsidRPr="00CB1D70" w:rsidRDefault="009938A5" w:rsidP="00CB1D70">
      <w:pPr>
        <w:pStyle w:val="ListParagraph"/>
        <w:numPr>
          <w:ilvl w:val="0"/>
          <w:numId w:val="3"/>
        </w:numPr>
        <w:rPr>
          <w:rFonts w:ascii="Corbel" w:hAnsi="Corbel"/>
        </w:rPr>
      </w:pPr>
      <w:r>
        <w:rPr>
          <w:rFonts w:ascii="Corbel" w:hAnsi="Corbel"/>
        </w:rPr>
        <w:t>C</w:t>
      </w:r>
      <w:r w:rsidR="00622B26" w:rsidRPr="00CB1D70">
        <w:rPr>
          <w:rFonts w:ascii="Corbel" w:hAnsi="Corbel"/>
        </w:rPr>
        <w:t xml:space="preserve">ancer, </w:t>
      </w:r>
    </w:p>
    <w:p w:rsidR="00622B26" w:rsidRDefault="009938A5" w:rsidP="00CB1D70">
      <w:pPr>
        <w:pStyle w:val="ListParagraph"/>
        <w:numPr>
          <w:ilvl w:val="0"/>
          <w:numId w:val="3"/>
        </w:numPr>
        <w:rPr>
          <w:rFonts w:ascii="Corbel" w:hAnsi="Corbel"/>
        </w:rPr>
      </w:pPr>
      <w:r>
        <w:rPr>
          <w:rFonts w:ascii="Corbel" w:hAnsi="Corbel"/>
        </w:rPr>
        <w:t>M</w:t>
      </w:r>
      <w:r w:rsidR="00622B26" w:rsidRPr="00CB1D70">
        <w:rPr>
          <w:rFonts w:ascii="Corbel" w:hAnsi="Corbel"/>
        </w:rPr>
        <w:t xml:space="preserve">ental health </w:t>
      </w:r>
    </w:p>
    <w:p w:rsidR="00622B26" w:rsidRDefault="00622B26" w:rsidP="00CB1D70">
      <w:pPr>
        <w:pStyle w:val="ListParagraph"/>
        <w:numPr>
          <w:ilvl w:val="0"/>
          <w:numId w:val="3"/>
        </w:numPr>
        <w:rPr>
          <w:rFonts w:ascii="Corbel" w:hAnsi="Corbel"/>
        </w:rPr>
      </w:pPr>
      <w:r w:rsidRPr="00CB1D70">
        <w:rPr>
          <w:rFonts w:ascii="Corbel" w:hAnsi="Corbel"/>
        </w:rPr>
        <w:t xml:space="preserve">GP and community services </w:t>
      </w:r>
    </w:p>
    <w:p w:rsidR="00622B26" w:rsidRDefault="009938A5" w:rsidP="00CB1D70">
      <w:pPr>
        <w:pStyle w:val="ListParagraph"/>
        <w:numPr>
          <w:ilvl w:val="0"/>
          <w:numId w:val="3"/>
        </w:numPr>
        <w:rPr>
          <w:rFonts w:ascii="Corbel" w:hAnsi="Corbel"/>
        </w:rPr>
      </w:pPr>
      <w:r>
        <w:rPr>
          <w:rFonts w:ascii="Corbel" w:hAnsi="Corbel"/>
        </w:rPr>
        <w:t>U</w:t>
      </w:r>
      <w:r w:rsidR="00622B26" w:rsidRPr="00CB1D70">
        <w:rPr>
          <w:rFonts w:ascii="Corbel" w:hAnsi="Corbel"/>
        </w:rPr>
        <w:t xml:space="preserve">rgent and emergency care </w:t>
      </w:r>
    </w:p>
    <w:p w:rsidR="00622B26" w:rsidRDefault="009938A5" w:rsidP="00CB1D70">
      <w:pPr>
        <w:pStyle w:val="ListParagraph"/>
        <w:numPr>
          <w:ilvl w:val="0"/>
          <w:numId w:val="3"/>
        </w:numPr>
        <w:rPr>
          <w:rFonts w:ascii="Corbel" w:hAnsi="Corbel"/>
        </w:rPr>
      </w:pPr>
      <w:r>
        <w:rPr>
          <w:rFonts w:ascii="Corbel" w:hAnsi="Corbel"/>
        </w:rPr>
        <w:t>M</w:t>
      </w:r>
      <w:r w:rsidR="00622B26" w:rsidRPr="00CB1D70">
        <w:rPr>
          <w:rFonts w:ascii="Corbel" w:hAnsi="Corbel"/>
        </w:rPr>
        <w:t xml:space="preserve">anaging long terms conditions </w:t>
      </w:r>
    </w:p>
    <w:p w:rsidR="00622B26" w:rsidRDefault="009938A5" w:rsidP="00CB1D70">
      <w:pPr>
        <w:pStyle w:val="ListParagraph"/>
        <w:numPr>
          <w:ilvl w:val="0"/>
          <w:numId w:val="3"/>
        </w:numPr>
        <w:rPr>
          <w:rFonts w:ascii="Corbel" w:hAnsi="Corbel"/>
        </w:rPr>
      </w:pPr>
      <w:r>
        <w:rPr>
          <w:rFonts w:ascii="Corbel" w:hAnsi="Corbel"/>
        </w:rPr>
        <w:t>M</w:t>
      </w:r>
      <w:r w:rsidR="00622B26">
        <w:rPr>
          <w:rFonts w:ascii="Corbel" w:hAnsi="Corbel"/>
        </w:rPr>
        <w:t xml:space="preserve">anaging </w:t>
      </w:r>
      <w:r w:rsidR="00622B26" w:rsidRPr="00CB1D70">
        <w:rPr>
          <w:rFonts w:ascii="Corbel" w:hAnsi="Corbel"/>
        </w:rPr>
        <w:t xml:space="preserve">the pressures that build up across our services. </w:t>
      </w:r>
    </w:p>
    <w:p w:rsidR="00703ECC" w:rsidRDefault="00703ECC" w:rsidP="00CB1D70">
      <w:pPr>
        <w:rPr>
          <w:rFonts w:ascii="Corbel" w:hAnsi="Corbel"/>
        </w:rPr>
      </w:pPr>
    </w:p>
    <w:p w:rsidR="00622B26" w:rsidRPr="008420A6" w:rsidRDefault="00622B26" w:rsidP="00CB1D70">
      <w:pPr>
        <w:rPr>
          <w:rFonts w:ascii="Corbel" w:hAnsi="Corbel"/>
          <w:color w:val="00B050"/>
        </w:rPr>
      </w:pPr>
      <w:r w:rsidRPr="008420A6">
        <w:rPr>
          <w:rFonts w:ascii="Corbel" w:hAnsi="Corbel"/>
        </w:rPr>
        <w:t xml:space="preserve">We are also being asked to manage </w:t>
      </w:r>
      <w:r w:rsidR="00527F7C">
        <w:rPr>
          <w:rFonts w:ascii="Corbel" w:hAnsi="Corbel"/>
        </w:rPr>
        <w:t xml:space="preserve">all our finances together. While each organisation will still be responsible for its own spending, we will share the responsibility for our collective spending. This means we will share the responsibility for all our books to balance. </w:t>
      </w:r>
    </w:p>
    <w:p w:rsidR="009A12B8" w:rsidRDefault="00622B26" w:rsidP="00622B26">
      <w:pPr>
        <w:rPr>
          <w:rFonts w:ascii="Corbel" w:hAnsi="Corbel"/>
        </w:rPr>
      </w:pPr>
      <w:r w:rsidRPr="00555F02">
        <w:rPr>
          <w:rFonts w:ascii="Corbel" w:hAnsi="Corbel"/>
        </w:rPr>
        <w:t>These priorities are based upon the needs of loc</w:t>
      </w:r>
      <w:r w:rsidR="00527F7C">
        <w:rPr>
          <w:rFonts w:ascii="Corbel" w:hAnsi="Corbel"/>
        </w:rPr>
        <w:t>al patients and communities and</w:t>
      </w:r>
      <w:r w:rsidRPr="00555F02">
        <w:rPr>
          <w:rFonts w:ascii="Corbel" w:hAnsi="Corbel"/>
        </w:rPr>
        <w:t xml:space="preserve"> information we have received during our early (and ongoing) engagement with </w:t>
      </w:r>
      <w:r w:rsidR="009A12B8">
        <w:rPr>
          <w:rFonts w:ascii="Corbel" w:hAnsi="Corbel"/>
        </w:rPr>
        <w:t>a range of people and organisations.</w:t>
      </w:r>
      <w:r w:rsidRPr="00555F02">
        <w:rPr>
          <w:rFonts w:ascii="Corbel" w:hAnsi="Corbel"/>
        </w:rPr>
        <w:t xml:space="preserve">. The South Yorkshire and Bassetlaw Plan </w:t>
      </w:r>
      <w:r w:rsidR="009A12B8">
        <w:rPr>
          <w:rFonts w:ascii="Corbel" w:hAnsi="Corbel"/>
        </w:rPr>
        <w:t>will</w:t>
      </w:r>
      <w:r w:rsidR="00527F7C">
        <w:rPr>
          <w:rFonts w:ascii="Corbel" w:hAnsi="Corbel"/>
        </w:rPr>
        <w:t xml:space="preserve"> develop</w:t>
      </w:r>
      <w:r w:rsidRPr="00555F02">
        <w:rPr>
          <w:rFonts w:ascii="Corbel" w:hAnsi="Corbel"/>
        </w:rPr>
        <w:t xml:space="preserve"> as our understanding of what communities want and need develops. </w:t>
      </w:r>
      <w:r w:rsidR="009A12B8">
        <w:rPr>
          <w:rFonts w:ascii="Corbel" w:hAnsi="Corbel"/>
        </w:rPr>
        <w:t>So it</w:t>
      </w:r>
      <w:r w:rsidR="00527F7C">
        <w:rPr>
          <w:rFonts w:ascii="Corbel" w:hAnsi="Corbel"/>
        </w:rPr>
        <w:t xml:space="preserve"> i</w:t>
      </w:r>
      <w:r w:rsidR="009A12B8">
        <w:rPr>
          <w:rFonts w:ascii="Corbel" w:hAnsi="Corbel"/>
        </w:rPr>
        <w:t>s vital that we have strong plans and systems for engagement across all of these priorities.</w:t>
      </w:r>
    </w:p>
    <w:p w:rsidR="00622B26" w:rsidRPr="00FB6707" w:rsidRDefault="00622B26" w:rsidP="00622B26">
      <w:pPr>
        <w:rPr>
          <w:rFonts w:ascii="Corbel" w:hAnsi="Corbel"/>
          <w:b/>
        </w:rPr>
      </w:pPr>
      <w:r w:rsidRPr="00FB6707">
        <w:rPr>
          <w:rFonts w:ascii="Corbel" w:hAnsi="Corbel"/>
          <w:b/>
        </w:rPr>
        <w:t>The evidence and legal framework</w:t>
      </w:r>
    </w:p>
    <w:p w:rsidR="00622B26" w:rsidRPr="00FB6707" w:rsidRDefault="00BF4EAA" w:rsidP="00622B26">
      <w:pPr>
        <w:rPr>
          <w:rFonts w:ascii="Corbel" w:hAnsi="Corbel"/>
        </w:rPr>
      </w:pPr>
      <w:r>
        <w:rPr>
          <w:rFonts w:ascii="Corbel" w:hAnsi="Corbel"/>
        </w:rPr>
        <w:t xml:space="preserve"> W</w:t>
      </w:r>
      <w:r w:rsidR="009A12B8">
        <w:rPr>
          <w:rFonts w:ascii="Corbel" w:hAnsi="Corbel"/>
        </w:rPr>
        <w:t xml:space="preserve">e know that </w:t>
      </w:r>
      <w:r w:rsidR="00622B26" w:rsidRPr="00FB6707">
        <w:rPr>
          <w:rFonts w:ascii="Corbel" w:hAnsi="Corbel"/>
        </w:rPr>
        <w:t xml:space="preserve">health services that are </w:t>
      </w:r>
      <w:r w:rsidR="00527F7C">
        <w:rPr>
          <w:rFonts w:ascii="Corbel" w:hAnsi="Corbel"/>
        </w:rPr>
        <w:t xml:space="preserve">designed with </w:t>
      </w:r>
      <w:r w:rsidR="009A12B8">
        <w:rPr>
          <w:rFonts w:ascii="Corbel" w:hAnsi="Corbel"/>
        </w:rPr>
        <w:t>communities and patients</w:t>
      </w:r>
      <w:r w:rsidR="00622B26" w:rsidRPr="00FB6707">
        <w:rPr>
          <w:rFonts w:ascii="Corbel" w:hAnsi="Corbel"/>
        </w:rPr>
        <w:t xml:space="preserve"> lead to better outcomes than services that are designed </w:t>
      </w:r>
      <w:r>
        <w:rPr>
          <w:rFonts w:ascii="Corbel" w:hAnsi="Corbel"/>
        </w:rPr>
        <w:t xml:space="preserve">just </w:t>
      </w:r>
      <w:r w:rsidR="00622B26" w:rsidRPr="00FB6707">
        <w:rPr>
          <w:rFonts w:ascii="Corbel" w:hAnsi="Corbel"/>
        </w:rPr>
        <w:t xml:space="preserve">by commissioners or clinical teams (NHSE, Transforming Participation in Healthcare, 2013). </w:t>
      </w:r>
      <w:r>
        <w:rPr>
          <w:rFonts w:ascii="Corbel" w:hAnsi="Corbel"/>
        </w:rPr>
        <w:t xml:space="preserve"> Because </w:t>
      </w:r>
      <w:r w:rsidR="00305DBA">
        <w:rPr>
          <w:rFonts w:ascii="Corbel" w:hAnsi="Corbel"/>
        </w:rPr>
        <w:t>of this, and by law</w:t>
      </w:r>
      <w:r w:rsidR="00305DBA">
        <w:rPr>
          <w:rStyle w:val="FootnoteReference"/>
          <w:rFonts w:ascii="Corbel" w:hAnsi="Corbel"/>
        </w:rPr>
        <w:footnoteReference w:id="1"/>
      </w:r>
      <w:r w:rsidR="00305DBA">
        <w:rPr>
          <w:rFonts w:ascii="Corbel" w:hAnsi="Corbel"/>
        </w:rPr>
        <w:t>, we have been</w:t>
      </w:r>
      <w:r>
        <w:rPr>
          <w:rFonts w:ascii="Corbel" w:hAnsi="Corbel"/>
        </w:rPr>
        <w:t xml:space="preserve"> consult</w:t>
      </w:r>
      <w:r w:rsidR="00305DBA">
        <w:rPr>
          <w:rFonts w:ascii="Corbel" w:hAnsi="Corbel"/>
        </w:rPr>
        <w:t xml:space="preserve">ing patients and public since </w:t>
      </w:r>
      <w:r>
        <w:rPr>
          <w:rFonts w:ascii="Corbel" w:hAnsi="Corbel"/>
        </w:rPr>
        <w:t>if we are making changes to services</w:t>
      </w:r>
      <w:r w:rsidR="00305DBA">
        <w:rPr>
          <w:rFonts w:ascii="Corbel" w:hAnsi="Corbel"/>
        </w:rPr>
        <w:t xml:space="preserve"> in the following ways:</w:t>
      </w:r>
      <w:r>
        <w:rPr>
          <w:rFonts w:ascii="Corbel" w:hAnsi="Corbel"/>
        </w:rPr>
        <w:t xml:space="preserve">  </w:t>
      </w:r>
    </w:p>
    <w:p w:rsidR="00622B26" w:rsidRDefault="00622B26" w:rsidP="00622B26">
      <w:pPr>
        <w:pStyle w:val="ListParagraph"/>
        <w:numPr>
          <w:ilvl w:val="0"/>
          <w:numId w:val="1"/>
        </w:numPr>
        <w:rPr>
          <w:rFonts w:ascii="Corbel" w:hAnsi="Corbel"/>
        </w:rPr>
      </w:pPr>
      <w:r w:rsidRPr="00FB6707">
        <w:rPr>
          <w:rFonts w:ascii="Corbel" w:hAnsi="Corbel"/>
        </w:rPr>
        <w:t xml:space="preserve">The planning of commissioning arrangements (only applies to NHS England &amp; CCGs) or provision of services (only applies to NHS Foundation Trusts and NHS Trusts); </w:t>
      </w:r>
    </w:p>
    <w:p w:rsidR="00622B26" w:rsidRDefault="00622B26" w:rsidP="00622B26">
      <w:pPr>
        <w:pStyle w:val="ListParagraph"/>
        <w:numPr>
          <w:ilvl w:val="0"/>
          <w:numId w:val="1"/>
        </w:numPr>
        <w:rPr>
          <w:rFonts w:ascii="Corbel" w:hAnsi="Corbel"/>
        </w:rPr>
      </w:pPr>
      <w:r w:rsidRPr="00FB6707">
        <w:rPr>
          <w:rFonts w:ascii="Corbel" w:hAnsi="Corbel"/>
        </w:rPr>
        <w:t xml:space="preserve">The development and consideration of proposals for changes in the way those services are commissioned/provided (applies as above) when the implementation of proposals would have an impact on the services; and </w:t>
      </w:r>
    </w:p>
    <w:p w:rsidR="00622B26" w:rsidRPr="00FB6707" w:rsidRDefault="00622B26" w:rsidP="00622B26">
      <w:pPr>
        <w:pStyle w:val="ListParagraph"/>
        <w:numPr>
          <w:ilvl w:val="0"/>
          <w:numId w:val="1"/>
        </w:numPr>
        <w:rPr>
          <w:rFonts w:ascii="Corbel" w:hAnsi="Corbel"/>
        </w:rPr>
      </w:pPr>
      <w:r w:rsidRPr="00FB6707">
        <w:rPr>
          <w:rFonts w:ascii="Corbel" w:hAnsi="Corbel"/>
        </w:rPr>
        <w:t xml:space="preserve">Decisions affecting the operation of those commissioning arrangements/services when the implementation of proposals would have an impact on the services (applies to all). </w:t>
      </w:r>
    </w:p>
    <w:p w:rsidR="00BF4EAA" w:rsidRDefault="00622B26" w:rsidP="00622B26">
      <w:pPr>
        <w:rPr>
          <w:rFonts w:ascii="Corbel" w:hAnsi="Corbel"/>
        </w:rPr>
      </w:pPr>
      <w:r w:rsidRPr="00FB6707">
        <w:rPr>
          <w:rFonts w:ascii="Corbel" w:hAnsi="Corbel"/>
        </w:rPr>
        <w:t xml:space="preserve">Specifically, these organisations must involve the public when </w:t>
      </w:r>
      <w:bookmarkStart w:id="0" w:name="_GoBack"/>
      <w:bookmarkEnd w:id="0"/>
    </w:p>
    <w:p w:rsidR="00BF4EAA" w:rsidRPr="008420A6" w:rsidRDefault="008420A6" w:rsidP="008420A6">
      <w:pPr>
        <w:pStyle w:val="ListParagraph"/>
        <w:numPr>
          <w:ilvl w:val="0"/>
          <w:numId w:val="4"/>
        </w:numPr>
        <w:rPr>
          <w:rFonts w:ascii="Corbel" w:hAnsi="Corbel"/>
        </w:rPr>
      </w:pPr>
      <w:r>
        <w:rPr>
          <w:rFonts w:ascii="Corbel" w:hAnsi="Corbel"/>
        </w:rPr>
        <w:t>There are changes to the way in which</w:t>
      </w:r>
      <w:r w:rsidR="00BF4EAA" w:rsidRPr="008420A6">
        <w:rPr>
          <w:rFonts w:ascii="Corbel" w:hAnsi="Corbel"/>
        </w:rPr>
        <w:t xml:space="preserve"> </w:t>
      </w:r>
      <w:r>
        <w:rPr>
          <w:rFonts w:ascii="Corbel" w:hAnsi="Corbel"/>
        </w:rPr>
        <w:t xml:space="preserve">services are delivered </w:t>
      </w:r>
    </w:p>
    <w:p w:rsidR="00BF4EAA" w:rsidRDefault="008420A6" w:rsidP="008420A6">
      <w:pPr>
        <w:pStyle w:val="ListParagraph"/>
        <w:numPr>
          <w:ilvl w:val="0"/>
          <w:numId w:val="4"/>
        </w:numPr>
        <w:rPr>
          <w:rFonts w:ascii="Corbel" w:hAnsi="Corbel"/>
        </w:rPr>
      </w:pPr>
      <w:r>
        <w:rPr>
          <w:rFonts w:ascii="Corbel" w:hAnsi="Corbel"/>
        </w:rPr>
        <w:t>Or</w:t>
      </w:r>
      <w:r w:rsidR="00622B26" w:rsidRPr="008420A6">
        <w:rPr>
          <w:rFonts w:ascii="Corbel" w:hAnsi="Corbel"/>
        </w:rPr>
        <w:t xml:space="preserve"> if the range of services </w:t>
      </w:r>
      <w:r w:rsidR="00BF4EAA">
        <w:rPr>
          <w:rFonts w:ascii="Corbel" w:hAnsi="Corbel"/>
        </w:rPr>
        <w:t>changes</w:t>
      </w:r>
    </w:p>
    <w:p w:rsidR="00F6228D" w:rsidRDefault="008420A6" w:rsidP="00622B26">
      <w:pPr>
        <w:rPr>
          <w:rFonts w:ascii="Corbel" w:hAnsi="Corbel"/>
        </w:rPr>
      </w:pPr>
      <w:r>
        <w:rPr>
          <w:rFonts w:ascii="Corbel" w:hAnsi="Corbel"/>
        </w:rPr>
        <w:t>F</w:t>
      </w:r>
      <w:r w:rsidR="009B010F">
        <w:rPr>
          <w:rFonts w:ascii="Corbel" w:hAnsi="Corbel"/>
        </w:rPr>
        <w:t xml:space="preserve">or example, </w:t>
      </w:r>
      <w:r w:rsidR="00622B26" w:rsidRPr="008420A6">
        <w:rPr>
          <w:rFonts w:ascii="Corbel" w:hAnsi="Corbel"/>
        </w:rPr>
        <w:t xml:space="preserve">when a service (or part of a service) is moved to a different site, closed, or the range of </w:t>
      </w:r>
      <w:r w:rsidR="009B010F">
        <w:rPr>
          <w:rFonts w:ascii="Corbel" w:hAnsi="Corbel"/>
        </w:rPr>
        <w:t xml:space="preserve">services </w:t>
      </w:r>
      <w:r>
        <w:rPr>
          <w:rFonts w:ascii="Corbel" w:hAnsi="Corbel"/>
        </w:rPr>
        <w:t>provided in</w:t>
      </w:r>
      <w:r w:rsidR="009B010F">
        <w:rPr>
          <w:rFonts w:ascii="Corbel" w:hAnsi="Corbel"/>
        </w:rPr>
        <w:t xml:space="preserve"> an area</w:t>
      </w:r>
      <w:r>
        <w:rPr>
          <w:rFonts w:ascii="Corbel" w:hAnsi="Corbel"/>
        </w:rPr>
        <w:t xml:space="preserve"> </w:t>
      </w:r>
      <w:r w:rsidR="009B010F">
        <w:rPr>
          <w:rFonts w:ascii="Corbel" w:hAnsi="Corbel"/>
        </w:rPr>
        <w:t>changes</w:t>
      </w:r>
      <w:r w:rsidR="00622B26" w:rsidRPr="008420A6">
        <w:rPr>
          <w:rFonts w:ascii="Corbel" w:hAnsi="Corbel"/>
        </w:rPr>
        <w:t>.</w:t>
      </w:r>
    </w:p>
    <w:p w:rsidR="00622B26" w:rsidRDefault="00622B26" w:rsidP="00622B26">
      <w:pPr>
        <w:rPr>
          <w:rFonts w:ascii="Corbel" w:hAnsi="Corbel"/>
        </w:rPr>
      </w:pPr>
      <w:r w:rsidRPr="00FB6707">
        <w:rPr>
          <w:rFonts w:ascii="Corbel" w:hAnsi="Corbel"/>
        </w:rPr>
        <w:t xml:space="preserve">NHS England and Clinical Commissioning Groups were given the same statutory duties under Section 13Q and 14Z2 (respectively) of the Health Act (2012) when they were established in 2013 and NHS England has the additional responsibility of </w:t>
      </w:r>
      <w:r w:rsidR="009B010F">
        <w:rPr>
          <w:rFonts w:ascii="Corbel" w:hAnsi="Corbel"/>
        </w:rPr>
        <w:t xml:space="preserve">checking </w:t>
      </w:r>
      <w:r w:rsidRPr="00FB6707">
        <w:rPr>
          <w:rFonts w:ascii="Corbel" w:hAnsi="Corbel"/>
        </w:rPr>
        <w:t>the engagement carried out by CCGs.</w:t>
      </w:r>
    </w:p>
    <w:p w:rsidR="00622B26" w:rsidRPr="00555F02" w:rsidRDefault="009B010F" w:rsidP="00622B26">
      <w:pPr>
        <w:rPr>
          <w:rFonts w:ascii="Corbel" w:hAnsi="Corbel"/>
        </w:rPr>
      </w:pPr>
      <w:r>
        <w:rPr>
          <w:rFonts w:ascii="Corbel" w:hAnsi="Corbel"/>
        </w:rPr>
        <w:t>Where a service change has triggered this legal duty to engage and consult; another legal duty applies</w:t>
      </w:r>
      <w:r>
        <w:rPr>
          <w:rStyle w:val="FootnoteReference"/>
          <w:rFonts w:ascii="Corbel" w:hAnsi="Corbel"/>
        </w:rPr>
        <w:footnoteReference w:id="2"/>
      </w:r>
      <w:r>
        <w:rPr>
          <w:rFonts w:ascii="Corbel" w:hAnsi="Corbel"/>
        </w:rPr>
        <w:t xml:space="preserve"> to the organisations above.  Formal agreement has to come from local authority Overview and Scrutiny Committees, (OSCs) before any changes or plans can be put into action.</w:t>
      </w:r>
    </w:p>
    <w:sectPr w:rsidR="00622B26" w:rsidRPr="00555F02" w:rsidSect="00703ECC">
      <w:headerReference w:type="default" r:id="rId9"/>
      <w:pgSz w:w="11906" w:h="16838"/>
      <w:pgMar w:top="1440" w:right="1080" w:bottom="1440" w:left="108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14" w:rsidRDefault="00191A14" w:rsidP="00BF4EAA">
      <w:pPr>
        <w:spacing w:after="0" w:line="240" w:lineRule="auto"/>
      </w:pPr>
      <w:r>
        <w:separator/>
      </w:r>
    </w:p>
  </w:endnote>
  <w:endnote w:type="continuationSeparator" w:id="0">
    <w:p w:rsidR="00191A14" w:rsidRDefault="00191A14" w:rsidP="00BF4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14" w:rsidRDefault="00191A14" w:rsidP="00BF4EAA">
      <w:pPr>
        <w:spacing w:after="0" w:line="240" w:lineRule="auto"/>
      </w:pPr>
      <w:r>
        <w:separator/>
      </w:r>
    </w:p>
  </w:footnote>
  <w:footnote w:type="continuationSeparator" w:id="0">
    <w:p w:rsidR="00191A14" w:rsidRDefault="00191A14" w:rsidP="00BF4EAA">
      <w:pPr>
        <w:spacing w:after="0" w:line="240" w:lineRule="auto"/>
      </w:pPr>
      <w:r>
        <w:continuationSeparator/>
      </w:r>
    </w:p>
  </w:footnote>
  <w:footnote w:id="1">
    <w:p w:rsidR="00305DBA" w:rsidRDefault="00305DBA" w:rsidP="00305DBA">
      <w:pPr>
        <w:pStyle w:val="FootnoteText"/>
        <w:rPr>
          <w:rFonts w:ascii="Corbel" w:hAnsi="Corbel"/>
        </w:rPr>
      </w:pPr>
      <w:r>
        <w:rPr>
          <w:rStyle w:val="FootnoteReference"/>
        </w:rPr>
        <w:footnoteRef/>
      </w:r>
      <w:r>
        <w:t xml:space="preserve"> </w:t>
      </w:r>
      <w:r w:rsidRPr="00FB6707">
        <w:rPr>
          <w:rFonts w:ascii="Corbel" w:hAnsi="Corbel"/>
        </w:rPr>
        <w:t>Section 242 of the National Health Service Act (2006 as amended) NHS Trusts and NHS Foundation Trusts have a legal duty to consult and involve the public (including patients and carers)</w:t>
      </w:r>
    </w:p>
    <w:p w:rsidR="00305DBA" w:rsidRDefault="00305DBA" w:rsidP="00305DBA">
      <w:pPr>
        <w:pStyle w:val="FootnoteText"/>
      </w:pPr>
    </w:p>
  </w:footnote>
  <w:footnote w:id="2">
    <w:p w:rsidR="009B010F" w:rsidRDefault="009B010F">
      <w:pPr>
        <w:pStyle w:val="FootnoteText"/>
      </w:pPr>
      <w:r>
        <w:rPr>
          <w:rStyle w:val="FootnoteReference"/>
        </w:rPr>
        <w:footnoteRef/>
      </w:r>
      <w:r>
        <w:t xml:space="preserve"> </w:t>
      </w:r>
      <w:r w:rsidRPr="00FB6707">
        <w:rPr>
          <w:rFonts w:ascii="Corbel" w:hAnsi="Corbel"/>
        </w:rPr>
        <w:t xml:space="preserve"> Section 244 of the National Health Service Act (2006 as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70" w:rsidRDefault="00703ECC" w:rsidP="00703ECC">
    <w:pPr>
      <w:pStyle w:val="Header"/>
      <w:jc w:val="right"/>
    </w:pPr>
    <w:r>
      <w:rPr>
        <w:noProof/>
        <w:lang w:eastAsia="en-GB"/>
      </w:rPr>
      <w:drawing>
        <wp:inline distT="0" distB="0" distL="0" distR="0" wp14:anchorId="0CBFDA83" wp14:editId="372E9A40">
          <wp:extent cx="2529840" cy="5791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10D1"/>
    <w:multiLevelType w:val="hybridMultilevel"/>
    <w:tmpl w:val="C9AA3A52"/>
    <w:lvl w:ilvl="0" w:tplc="E5209A9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31A29"/>
    <w:multiLevelType w:val="hybridMultilevel"/>
    <w:tmpl w:val="8E00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370E5E"/>
    <w:multiLevelType w:val="hybridMultilevel"/>
    <w:tmpl w:val="11AE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50B92"/>
    <w:multiLevelType w:val="hybridMultilevel"/>
    <w:tmpl w:val="4664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26"/>
    <w:rsid w:val="000D5A07"/>
    <w:rsid w:val="00111EB8"/>
    <w:rsid w:val="00191A14"/>
    <w:rsid w:val="00216009"/>
    <w:rsid w:val="00305DBA"/>
    <w:rsid w:val="00527F7C"/>
    <w:rsid w:val="00530996"/>
    <w:rsid w:val="005672A8"/>
    <w:rsid w:val="00622B26"/>
    <w:rsid w:val="00684961"/>
    <w:rsid w:val="00703ECC"/>
    <w:rsid w:val="008420A6"/>
    <w:rsid w:val="008563D8"/>
    <w:rsid w:val="008E321F"/>
    <w:rsid w:val="009938A5"/>
    <w:rsid w:val="009A12B8"/>
    <w:rsid w:val="009B010F"/>
    <w:rsid w:val="00BF4EAA"/>
    <w:rsid w:val="00CA1479"/>
    <w:rsid w:val="00CB1D70"/>
    <w:rsid w:val="00D81FF8"/>
    <w:rsid w:val="00E2256B"/>
    <w:rsid w:val="00F62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26"/>
    <w:pPr>
      <w:ind w:left="720"/>
      <w:contextualSpacing/>
    </w:pPr>
  </w:style>
  <w:style w:type="paragraph" w:styleId="BalloonText">
    <w:name w:val="Balloon Text"/>
    <w:basedOn w:val="Normal"/>
    <w:link w:val="BalloonTextChar"/>
    <w:uiPriority w:val="99"/>
    <w:semiHidden/>
    <w:unhideWhenUsed/>
    <w:rsid w:val="0062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B26"/>
    <w:rPr>
      <w:rFonts w:ascii="Tahoma" w:hAnsi="Tahoma" w:cs="Tahoma"/>
      <w:sz w:val="16"/>
      <w:szCs w:val="16"/>
    </w:rPr>
  </w:style>
  <w:style w:type="character" w:styleId="CommentReference">
    <w:name w:val="annotation reference"/>
    <w:basedOn w:val="DefaultParagraphFont"/>
    <w:uiPriority w:val="99"/>
    <w:semiHidden/>
    <w:unhideWhenUsed/>
    <w:rsid w:val="00622B26"/>
    <w:rPr>
      <w:sz w:val="16"/>
      <w:szCs w:val="16"/>
    </w:rPr>
  </w:style>
  <w:style w:type="paragraph" w:styleId="CommentText">
    <w:name w:val="annotation text"/>
    <w:basedOn w:val="Normal"/>
    <w:link w:val="CommentTextChar"/>
    <w:uiPriority w:val="99"/>
    <w:semiHidden/>
    <w:unhideWhenUsed/>
    <w:rsid w:val="00622B26"/>
    <w:pPr>
      <w:spacing w:line="240" w:lineRule="auto"/>
    </w:pPr>
    <w:rPr>
      <w:sz w:val="20"/>
      <w:szCs w:val="20"/>
    </w:rPr>
  </w:style>
  <w:style w:type="character" w:customStyle="1" w:styleId="CommentTextChar">
    <w:name w:val="Comment Text Char"/>
    <w:basedOn w:val="DefaultParagraphFont"/>
    <w:link w:val="CommentText"/>
    <w:uiPriority w:val="99"/>
    <w:semiHidden/>
    <w:rsid w:val="00622B26"/>
    <w:rPr>
      <w:sz w:val="20"/>
      <w:szCs w:val="20"/>
    </w:rPr>
  </w:style>
  <w:style w:type="paragraph" w:styleId="CommentSubject">
    <w:name w:val="annotation subject"/>
    <w:basedOn w:val="CommentText"/>
    <w:next w:val="CommentText"/>
    <w:link w:val="CommentSubjectChar"/>
    <w:uiPriority w:val="99"/>
    <w:semiHidden/>
    <w:unhideWhenUsed/>
    <w:rsid w:val="00622B26"/>
    <w:rPr>
      <w:b/>
      <w:bCs/>
    </w:rPr>
  </w:style>
  <w:style w:type="character" w:customStyle="1" w:styleId="CommentSubjectChar">
    <w:name w:val="Comment Subject Char"/>
    <w:basedOn w:val="CommentTextChar"/>
    <w:link w:val="CommentSubject"/>
    <w:uiPriority w:val="99"/>
    <w:semiHidden/>
    <w:rsid w:val="00622B26"/>
    <w:rPr>
      <w:b/>
      <w:bCs/>
      <w:sz w:val="20"/>
      <w:szCs w:val="20"/>
    </w:rPr>
  </w:style>
  <w:style w:type="paragraph" w:styleId="FootnoteText">
    <w:name w:val="footnote text"/>
    <w:basedOn w:val="Normal"/>
    <w:link w:val="FootnoteTextChar"/>
    <w:uiPriority w:val="99"/>
    <w:semiHidden/>
    <w:unhideWhenUsed/>
    <w:rsid w:val="00BF4E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EAA"/>
    <w:rPr>
      <w:sz w:val="20"/>
      <w:szCs w:val="20"/>
    </w:rPr>
  </w:style>
  <w:style w:type="character" w:styleId="FootnoteReference">
    <w:name w:val="footnote reference"/>
    <w:basedOn w:val="DefaultParagraphFont"/>
    <w:uiPriority w:val="99"/>
    <w:semiHidden/>
    <w:unhideWhenUsed/>
    <w:rsid w:val="00BF4EAA"/>
    <w:rPr>
      <w:vertAlign w:val="superscript"/>
    </w:rPr>
  </w:style>
  <w:style w:type="paragraph" w:styleId="Header">
    <w:name w:val="header"/>
    <w:basedOn w:val="Normal"/>
    <w:link w:val="HeaderChar"/>
    <w:uiPriority w:val="99"/>
    <w:unhideWhenUsed/>
    <w:rsid w:val="00CB1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D70"/>
  </w:style>
  <w:style w:type="paragraph" w:styleId="Footer">
    <w:name w:val="footer"/>
    <w:basedOn w:val="Normal"/>
    <w:link w:val="FooterChar"/>
    <w:uiPriority w:val="99"/>
    <w:unhideWhenUsed/>
    <w:rsid w:val="00CB1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26"/>
    <w:pPr>
      <w:ind w:left="720"/>
      <w:contextualSpacing/>
    </w:pPr>
  </w:style>
  <w:style w:type="paragraph" w:styleId="BalloonText">
    <w:name w:val="Balloon Text"/>
    <w:basedOn w:val="Normal"/>
    <w:link w:val="BalloonTextChar"/>
    <w:uiPriority w:val="99"/>
    <w:semiHidden/>
    <w:unhideWhenUsed/>
    <w:rsid w:val="0062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B26"/>
    <w:rPr>
      <w:rFonts w:ascii="Tahoma" w:hAnsi="Tahoma" w:cs="Tahoma"/>
      <w:sz w:val="16"/>
      <w:szCs w:val="16"/>
    </w:rPr>
  </w:style>
  <w:style w:type="character" w:styleId="CommentReference">
    <w:name w:val="annotation reference"/>
    <w:basedOn w:val="DefaultParagraphFont"/>
    <w:uiPriority w:val="99"/>
    <w:semiHidden/>
    <w:unhideWhenUsed/>
    <w:rsid w:val="00622B26"/>
    <w:rPr>
      <w:sz w:val="16"/>
      <w:szCs w:val="16"/>
    </w:rPr>
  </w:style>
  <w:style w:type="paragraph" w:styleId="CommentText">
    <w:name w:val="annotation text"/>
    <w:basedOn w:val="Normal"/>
    <w:link w:val="CommentTextChar"/>
    <w:uiPriority w:val="99"/>
    <w:semiHidden/>
    <w:unhideWhenUsed/>
    <w:rsid w:val="00622B26"/>
    <w:pPr>
      <w:spacing w:line="240" w:lineRule="auto"/>
    </w:pPr>
    <w:rPr>
      <w:sz w:val="20"/>
      <w:szCs w:val="20"/>
    </w:rPr>
  </w:style>
  <w:style w:type="character" w:customStyle="1" w:styleId="CommentTextChar">
    <w:name w:val="Comment Text Char"/>
    <w:basedOn w:val="DefaultParagraphFont"/>
    <w:link w:val="CommentText"/>
    <w:uiPriority w:val="99"/>
    <w:semiHidden/>
    <w:rsid w:val="00622B26"/>
    <w:rPr>
      <w:sz w:val="20"/>
      <w:szCs w:val="20"/>
    </w:rPr>
  </w:style>
  <w:style w:type="paragraph" w:styleId="CommentSubject">
    <w:name w:val="annotation subject"/>
    <w:basedOn w:val="CommentText"/>
    <w:next w:val="CommentText"/>
    <w:link w:val="CommentSubjectChar"/>
    <w:uiPriority w:val="99"/>
    <w:semiHidden/>
    <w:unhideWhenUsed/>
    <w:rsid w:val="00622B26"/>
    <w:rPr>
      <w:b/>
      <w:bCs/>
    </w:rPr>
  </w:style>
  <w:style w:type="character" w:customStyle="1" w:styleId="CommentSubjectChar">
    <w:name w:val="Comment Subject Char"/>
    <w:basedOn w:val="CommentTextChar"/>
    <w:link w:val="CommentSubject"/>
    <w:uiPriority w:val="99"/>
    <w:semiHidden/>
    <w:rsid w:val="00622B26"/>
    <w:rPr>
      <w:b/>
      <w:bCs/>
      <w:sz w:val="20"/>
      <w:szCs w:val="20"/>
    </w:rPr>
  </w:style>
  <w:style w:type="paragraph" w:styleId="FootnoteText">
    <w:name w:val="footnote text"/>
    <w:basedOn w:val="Normal"/>
    <w:link w:val="FootnoteTextChar"/>
    <w:uiPriority w:val="99"/>
    <w:semiHidden/>
    <w:unhideWhenUsed/>
    <w:rsid w:val="00BF4E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EAA"/>
    <w:rPr>
      <w:sz w:val="20"/>
      <w:szCs w:val="20"/>
    </w:rPr>
  </w:style>
  <w:style w:type="character" w:styleId="FootnoteReference">
    <w:name w:val="footnote reference"/>
    <w:basedOn w:val="DefaultParagraphFont"/>
    <w:uiPriority w:val="99"/>
    <w:semiHidden/>
    <w:unhideWhenUsed/>
    <w:rsid w:val="00BF4EAA"/>
    <w:rPr>
      <w:vertAlign w:val="superscript"/>
    </w:rPr>
  </w:style>
  <w:style w:type="paragraph" w:styleId="Header">
    <w:name w:val="header"/>
    <w:basedOn w:val="Normal"/>
    <w:link w:val="HeaderChar"/>
    <w:uiPriority w:val="99"/>
    <w:unhideWhenUsed/>
    <w:rsid w:val="00CB1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D70"/>
  </w:style>
  <w:style w:type="paragraph" w:styleId="Footer">
    <w:name w:val="footer"/>
    <w:basedOn w:val="Normal"/>
    <w:link w:val="FooterChar"/>
    <w:uiPriority w:val="99"/>
    <w:unhideWhenUsed/>
    <w:rsid w:val="00CB1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D2A28-B0CC-4E51-B6F5-79C793D7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Stevens</cp:lastModifiedBy>
  <cp:revision>4</cp:revision>
  <dcterms:created xsi:type="dcterms:W3CDTF">2017-09-18T13:51:00Z</dcterms:created>
  <dcterms:modified xsi:type="dcterms:W3CDTF">2017-09-18T18:08:00Z</dcterms:modified>
</cp:coreProperties>
</file>